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D6" w:rsidRPr="005477D6" w:rsidRDefault="005477D6" w:rsidP="005477D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47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За 5 лет Отделение СФР по Мордовии </w:t>
      </w:r>
      <w:proofErr w:type="spellStart"/>
      <w:r w:rsidRPr="00547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проактивно</w:t>
      </w:r>
      <w:proofErr w:type="spellEnd"/>
      <w:r w:rsidRPr="005477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оформило более 16 200 сертификатов на материнский капитал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15 апреля исполняется 5 лет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проактивному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назначению федерального материнского капитала. Это означает, что с 2020 года родители не тратят время на оформление сертификата на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маткапитал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, поскольку Отделение Социального фонда по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Мордовии  предоставляет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эту меру государственной поддержки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беззаявительно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>. Документ оформляется на основании данных о рождении ребенка, поступивших от органов ЗАГС.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С начала 2025 года по этим сведениям для жителей республики региональное Отделение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проактивно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оформило 559 сертификатов, а за 5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лет  -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16 275.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Беззаявительный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формат предусматривает оформление электронного документа, который мама получает в личном кабинете на портале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>.  При необходимости его можно распечатать или сохранить на компьютере.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Электронный  сертификат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содержит  ту же информацию, что и прежний бумажный документ.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Размер материнского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капитала  указывается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на дату оформления сертификата. При проведении ежегодной индексации не потраченных средств, обменивать документ не нужно - получить информацию о новой сумме капитала (или его остатке) можно на портале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Для семей, усыновивших детей, сохраняется заявительный порядок оформления сертификата, поскольку сведения, необходимые для получения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маткапитала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>, могут представить только сами усыновители.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Семья может потратить материнский капитал по одному или нескольким направлениям.  Сразу после получения сертификата его средства можно использовать на погашение ипотечного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кредита,  оплату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сада, на получение ежемесячной выплаты на детей до 3 лет  и компенсацию стоимости товаров и услуг для детей с инвалидностью.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>Улучшить жилищные условия без привлечения кредитных средств, оплатить обучение ребенка, а также направить средства на накопительную пенсию мамы (в некоторых случаях - папы), можно только после исполнения трех лет ребенку, с рождением которого семья получила право на сертификат.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Материнский капитал — это мера государственной поддержки российских семей.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Программа  начала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работать в 2007 году.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В  Мордовии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первый сертификат на </w:t>
      </w:r>
      <w:proofErr w:type="spellStart"/>
      <w:r w:rsidRPr="005477D6">
        <w:rPr>
          <w:rFonts w:ascii="Times New Roman" w:eastAsia="Times New Roman" w:hAnsi="Times New Roman" w:cs="Times New Roman"/>
          <w:sz w:val="24"/>
          <w:szCs w:val="24"/>
        </w:rPr>
        <w:t>маткапитал</w:t>
      </w:r>
      <w:proofErr w:type="spell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  был выдан 18 лет назад - в марте 2007 года. Тогда размер государственной поддержки семей с двумя детьми составлял 250 тысяч рублей.  В 2025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году  его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 xml:space="preserve"> сумма на первого ребенка составляет 690 266 рублей. При рождении второго семья получает доплату в </w:t>
      </w:r>
      <w:proofErr w:type="gramStart"/>
      <w:r w:rsidRPr="005477D6">
        <w:rPr>
          <w:rFonts w:ascii="Times New Roman" w:eastAsia="Times New Roman" w:hAnsi="Times New Roman" w:cs="Times New Roman"/>
          <w:sz w:val="24"/>
          <w:szCs w:val="24"/>
        </w:rPr>
        <w:t>размере  221</w:t>
      </w:r>
      <w:proofErr w:type="gramEnd"/>
      <w:r w:rsidRPr="005477D6">
        <w:rPr>
          <w:rFonts w:ascii="Times New Roman" w:eastAsia="Times New Roman" w:hAnsi="Times New Roman" w:cs="Times New Roman"/>
          <w:sz w:val="24"/>
          <w:szCs w:val="24"/>
        </w:rPr>
        <w:t> 895 рублей. Если до появления второго или любого следующего ребенка права на материнский капитал не было либо он не оформлялся, семья имеет право на сумму 912 162 рубля.</w:t>
      </w:r>
    </w:p>
    <w:p w:rsidR="005477D6" w:rsidRPr="005477D6" w:rsidRDefault="005477D6" w:rsidP="005477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5477D6" w:rsidRDefault="001552DA" w:rsidP="005477D6"/>
    <w:sectPr w:rsidR="001552DA" w:rsidRPr="005477D6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3943"/>
    <w:multiLevelType w:val="multilevel"/>
    <w:tmpl w:val="EA5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E1CD9"/>
    <w:multiLevelType w:val="multilevel"/>
    <w:tmpl w:val="B4A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70FFC"/>
    <w:multiLevelType w:val="multilevel"/>
    <w:tmpl w:val="BDA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B5A24"/>
    <w:multiLevelType w:val="multilevel"/>
    <w:tmpl w:val="E28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477D6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F13D3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E5E76"/>
    <w:rsid w:val="00CF3208"/>
    <w:rsid w:val="00D01B46"/>
    <w:rsid w:val="00D332A7"/>
    <w:rsid w:val="00D542D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42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08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1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6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8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0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3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4768-D0F9-4487-A6CE-318BD96D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2025-04-21T13:12:00Z</dcterms:created>
  <dcterms:modified xsi:type="dcterms:W3CDTF">2025-04-21T13:12:00Z</dcterms:modified>
</cp:coreProperties>
</file>